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5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Preambule</w:t>
      </w:r>
    </w:p>
    <w:bookmarkStart w:id="29" w:name="i.c.e.-jrtm"/>
    <w:p>
      <w:pPr>
        <w:pStyle w:val="Titre1"/>
      </w:pPr>
      <w:r>
        <w:t xml:space="preserve">I.C.E. JRTM</w:t>
      </w:r>
    </w:p>
    <w:bookmarkStart w:id="23" w:name="angmar-pays-du-roi-sorcier"/>
    <w:p>
      <w:pPr>
        <w:pStyle w:val="Titre2"/>
      </w:pPr>
      <w:r>
        <w:t xml:space="preserve">Angmar, Pays du Roi-Sorcier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cover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Ce produit de la gamme a pour but d’être un outil pour les Maîtres de</w:t>
      </w:r>
      <w:r>
        <w:t xml:space="preserve"> </w:t>
      </w:r>
      <w:r>
        <w:t xml:space="preserve">Jeu qui souhaitent avoir une solide base de références sur les campagnes</w:t>
      </w:r>
      <w:r>
        <w:t xml:space="preserve"> </w:t>
      </w:r>
      <w:r>
        <w:t xml:space="preserve">de Jeu de Rôle d’Aventures Fantastiques basées sur les Terres du Milieu</w:t>
      </w:r>
      <w:r>
        <w:t xml:space="preserve"> </w:t>
      </w:r>
      <w:r>
        <w:t xml:space="preserve">de J.R.R Tolkien. Les modules détaillent des régions spécifiques du</w:t>
      </w:r>
      <w:r>
        <w:t xml:space="preserve"> </w:t>
      </w:r>
      <w:r>
        <w:t xml:space="preserve">continent d’Endor et tentent d’apporter au lecteur une vision des</w:t>
      </w:r>
      <w:r>
        <w:t xml:space="preserve"> </w:t>
      </w:r>
      <w:r>
        <w:t xml:space="preserve">structures physiques, intellectuelles et spirituelles de la région</w:t>
      </w:r>
      <w:r>
        <w:t xml:space="preserve"> </w:t>
      </w:r>
      <w:r>
        <w:t xml:space="preserve">concernée ; la politique, la géographie, le climat et la magie y sont</w:t>
      </w:r>
      <w:r>
        <w:t xml:space="preserve"> </w:t>
      </w:r>
      <w:r>
        <w:t xml:space="preserve">inclus. Les particularités principales et/ou dominantes sont accentuées</w:t>
      </w:r>
      <w:r>
        <w:t xml:space="preserve"> </w:t>
      </w:r>
      <w:r>
        <w:t xml:space="preserve">car ces territoires n’ont pu être entièrement décrits dans n’importe</w:t>
      </w:r>
      <w:r>
        <w:t xml:space="preserve"> </w:t>
      </w:r>
      <w:r>
        <w:t xml:space="preserve">quel ouvrage. Quand cela a été possible, des plans « typiques » sont</w:t>
      </w:r>
      <w:r>
        <w:t xml:space="preserve"> </w:t>
      </w:r>
      <w:r>
        <w:t xml:space="preserve">fournis, donnant au lecteur une idée approximative de ce qui doit être</w:t>
      </w:r>
      <w:r>
        <w:t xml:space="preserve"> </w:t>
      </w:r>
      <w:r>
        <w:t xml:space="preserve">trouvé à un endroit donné ou à un emplacement similaire. Toutes les</w:t>
      </w:r>
      <w:r>
        <w:t xml:space="preserve"> </w:t>
      </w:r>
      <w:r>
        <w:t xml:space="preserve">données fournies ont pour but de concrétiser une image d’une partie des</w:t>
      </w:r>
      <w:r>
        <w:t xml:space="preserve"> </w:t>
      </w:r>
      <w:r>
        <w:t xml:space="preserve">Terres du Milieu et le Maître de Jeu est encouragé à les utiliser comme</w:t>
      </w:r>
      <w:r>
        <w:t xml:space="preserve"> </w:t>
      </w:r>
      <w:r>
        <w:t xml:space="preserve">trame ; des régions et détails vagues, qui ne pouvaient raisonnablement</w:t>
      </w:r>
      <w:r>
        <w:t xml:space="preserve"> </w:t>
      </w:r>
      <w:r>
        <w:t xml:space="preserve">pas être inclus dans les modules, peuvent être définis en se servant de</w:t>
      </w:r>
      <w:r>
        <w:t xml:space="preserve"> </w:t>
      </w:r>
      <w:r>
        <w:t xml:space="preserve">la base de références fournie, en conjonction avec une certaine</w:t>
      </w:r>
      <w:r>
        <w:t xml:space="preserve"> </w:t>
      </w:r>
      <w:r>
        <w:t xml:space="preserve">créativité. Le matériel de base inestimable trouvé dans l’œuvre de</w:t>
      </w:r>
      <w:r>
        <w:t xml:space="preserve"> </w:t>
      </w:r>
      <w:r>
        <w:t xml:space="preserve">Tolkien et la carte continentale d’Endor sont des aides de jeu idéales</w:t>
      </w:r>
      <w:r>
        <w:t xml:space="preserve"> </w:t>
      </w:r>
      <w:r>
        <w:t xml:space="preserve">et ont pour but de stimuler cette méthode.</w:t>
      </w:r>
    </w:p>
    <w:p>
      <w:pPr>
        <w:pStyle w:val="Corpsdetexte"/>
      </w:pPr>
      <w:r>
        <w:t xml:space="preserve">Chaque module englobe, avec un grand soin de détails, certaines</w:t>
      </w:r>
      <w:r>
        <w:t xml:space="preserve"> </w:t>
      </w:r>
      <w:r>
        <w:t xml:space="preserve">citadelles et lieux habités. Néanmoins, cet ouvrage n’est pas une</w:t>
      </w:r>
      <w:r>
        <w:t xml:space="preserve"> </w:t>
      </w:r>
      <w:r>
        <w:t xml:space="preserve">campagne « prête à jouer ». L’information de base nécessaire est fournie</w:t>
      </w:r>
      <w:r>
        <w:t xml:space="preserve"> </w:t>
      </w:r>
      <w:r>
        <w:t xml:space="preserve">au Maître de Jeu afin qu’il comprenne et visualise une partie des Terres</w:t>
      </w:r>
      <w:r>
        <w:t xml:space="preserve"> </w:t>
      </w:r>
      <w:r>
        <w:t xml:space="preserve">du Milieu. Ces données, combinées avec des exemples et avec n’importe</w:t>
      </w:r>
      <w:r>
        <w:t xml:space="preserve"> </w:t>
      </w:r>
      <w:r>
        <w:t xml:space="preserve">quel matériel de base que le MJ désire utiliser, le rendront capable</w:t>
      </w:r>
      <w:r>
        <w:t xml:space="preserve"> </w:t>
      </w:r>
      <w:r>
        <w:t xml:space="preserve">d’ajouter du relief et des détails qui sont nécessaires à une campagne</w:t>
      </w:r>
      <w:r>
        <w:t xml:space="preserve"> </w:t>
      </w:r>
      <w:r>
        <w:t xml:space="preserve">spécifique. N’importe quel système de Jeu de Rôle d’Aventures</w:t>
      </w:r>
      <w:r>
        <w:t xml:space="preserve"> </w:t>
      </w:r>
      <w:r>
        <w:t xml:space="preserve">Fantastiques peut être utilisé et toute forme de campagne peut être</w:t>
      </w:r>
      <w:r>
        <w:t xml:space="preserve"> </w:t>
      </w:r>
      <w:r>
        <w:t xml:space="preserve">réalisée, aussi longtemps qu’elle satisfait Maîtres de Jeu et joueurs.</w:t>
      </w:r>
      <w:r>
        <w:t xml:space="preserve"> </w:t>
      </w:r>
      <w:r>
        <w:t xml:space="preserve">I.C.E. fournit une vision globale descriptive du continent, certaines</w:t>
      </w:r>
      <w:r>
        <w:t xml:space="preserve"> </w:t>
      </w:r>
      <w:r>
        <w:t xml:space="preserve">structures-clés et certains concepts ; au-delà de la base de références,</w:t>
      </w:r>
      <w:r>
        <w:t xml:space="preserve"> </w:t>
      </w:r>
      <w:r>
        <w:t xml:space="preserve">l’utilisateur doit créer sa campagne. Des directives créatives, mais pas</w:t>
      </w:r>
      <w:r>
        <w:t xml:space="preserve"> </w:t>
      </w:r>
      <w:r>
        <w:t xml:space="preserve">absolues, sont proposées.</w:t>
      </w:r>
    </w:p>
    <w:p>
      <w:pPr>
        <w:pStyle w:val="Corpsdetexte"/>
      </w:pPr>
      <w:r>
        <w:t xml:space="preserve">Ce produit de la gamme procure également un matériel de base</w:t>
      </w:r>
      <w:r>
        <w:t xml:space="preserve"> </w:t>
      </w:r>
      <w:r>
        <w:t xml:space="preserve">intéressant pour ceux désirant comprendre la nature d’une région</w:t>
      </w:r>
      <w:r>
        <w:t xml:space="preserve"> </w:t>
      </w:r>
      <w:r>
        <w:t xml:space="preserve">spécifique des Terres du Milieu. Chaque module est conçu sur une</w:t>
      </w:r>
      <w:r>
        <w:t xml:space="preserve"> </w:t>
      </w:r>
      <w:r>
        <w:t xml:space="preserve">recherche approfondie et essaie de présenter les fameux modèles associés</w:t>
      </w:r>
      <w:r>
        <w:t xml:space="preserve"> </w:t>
      </w:r>
      <w:r>
        <w:t xml:space="preserve">au legs de Tolkien. Quand les renseignements sont sujets à</w:t>
      </w:r>
      <w:r>
        <w:t xml:space="preserve"> </w:t>
      </w:r>
      <w:r>
        <w:t xml:space="preserve">l’interprétation et/ou spéculatifs, un grand soin a été pris afin de</w:t>
      </w:r>
      <w:r>
        <w:t xml:space="preserve"> </w:t>
      </w:r>
      <w:r>
        <w:t xml:space="preserve">permettre aux conclusions de correspondre aux modèles et plans qui ont</w:t>
      </w:r>
      <w:r>
        <w:t xml:space="preserve"> </w:t>
      </w:r>
      <w:r>
        <w:t xml:space="preserve">été définis. Dans ces domaines, les modules ont pour but de fournir au</w:t>
      </w:r>
      <w:r>
        <w:t xml:space="preserve"> </w:t>
      </w:r>
      <w:r>
        <w:t xml:space="preserve">lecteur l’ambiance de la région, pas plus. Le but est de créer une</w:t>
      </w:r>
      <w:r>
        <w:t xml:space="preserve"> </w:t>
      </w:r>
      <w:r>
        <w:t xml:space="preserve">stimulation de la créativité, et I.C.E. ne destine pas cet ouvrage à</w:t>
      </w:r>
      <w:r>
        <w:t xml:space="preserve"> </w:t>
      </w:r>
      <w:r>
        <w:t xml:space="preserve">être la seule ou « vraie » interprétation. De plus, rappelez-vous</w:t>
      </w:r>
      <w:r>
        <w:t xml:space="preserve"> </w:t>
      </w:r>
      <w:r>
        <w:t xml:space="preserve">toujours que l’œuvre de Tolkien est l’ultime source. Ce qui est fourni</w:t>
      </w:r>
      <w:r>
        <w:t xml:space="preserve"> </w:t>
      </w:r>
      <w:r>
        <w:t xml:space="preserve">dans ce produit est cependant une vue logique de tout un continent. Nous</w:t>
      </w:r>
      <w:r>
        <w:t xml:space="preserve"> </w:t>
      </w:r>
      <w:r>
        <w:t xml:space="preserve">espérons que cela aidera le lecteur à plonger profondément dans le monde</w:t>
      </w:r>
      <w:r>
        <w:t xml:space="preserve"> </w:t>
      </w:r>
      <w:r>
        <w:t xml:space="preserve">merveilleux que sont les Terres du Milieu.</w:t>
      </w:r>
    </w:p>
    <w:bookmarkEnd w:id="23"/>
    <w:bookmarkStart w:id="24" w:name="crédits"/>
    <w:p>
      <w:pPr>
        <w:pStyle w:val="Titre2"/>
      </w:pPr>
      <w:r>
        <w:t xml:space="preserve">Crédits</w:t>
      </w:r>
    </w:p>
    <w:p>
      <w:pPr>
        <w:pStyle w:val="FirstParagraph"/>
      </w:pPr>
      <w:r>
        <w:rPr>
          <w:bCs/>
          <w:b/>
        </w:rPr>
        <w:t xml:space="preserve">Auteur</w:t>
      </w:r>
      <w:r>
        <w:t xml:space="preserve"> </w:t>
      </w:r>
      <w:r>
        <w:t xml:space="preserve">: Heike Kubasch</w:t>
      </w:r>
    </w:p>
    <w:p>
      <w:pPr>
        <w:pStyle w:val="Corpsdetexte"/>
      </w:pPr>
      <w:r>
        <w:rPr>
          <w:bCs/>
          <w:b/>
        </w:rPr>
        <w:t xml:space="preserve">Correcteur</w:t>
      </w:r>
      <w:r>
        <w:t xml:space="preserve"> </w:t>
      </w:r>
      <w:r>
        <w:t xml:space="preserve">: Peter C. Fenton</w:t>
      </w:r>
    </w:p>
    <w:p>
      <w:pPr>
        <w:pStyle w:val="Corpsdetexte"/>
      </w:pPr>
      <w:r>
        <w:rPr>
          <w:bCs/>
          <w:b/>
        </w:rPr>
        <w:t xml:space="preserve">Dessin de couverture</w:t>
      </w:r>
      <w:r>
        <w:t xml:space="preserve"> </w:t>
      </w:r>
      <w:r>
        <w:t xml:space="preserve">: Gail B. McIntosh</w:t>
      </w:r>
    </w:p>
    <w:p>
      <w:pPr>
        <w:pStyle w:val="Corpsdetexte"/>
      </w:pPr>
      <w:r>
        <w:rPr>
          <w:bCs/>
          <w:b/>
        </w:rPr>
        <w:t xml:space="preserve">Cartes</w:t>
      </w:r>
      <w:r>
        <w:t xml:space="preserve"> </w:t>
      </w:r>
      <w:r>
        <w:t xml:space="preserve">: Peler C. Fenton</w:t>
      </w:r>
    </w:p>
    <w:p>
      <w:pPr>
        <w:pStyle w:val="Corpsdetexte"/>
      </w:pPr>
      <w:r>
        <w:rPr>
          <w:bCs/>
          <w:b/>
        </w:rPr>
        <w:t xml:space="preserve">Illustrations</w:t>
      </w:r>
      <w:r>
        <w:t xml:space="preserve"> </w:t>
      </w:r>
      <w:r>
        <w:t xml:space="preserve">: Charles Peule, Peter C. Fenlon,</w:t>
      </w:r>
      <w:r>
        <w:t xml:space="preserve"> </w:t>
      </w:r>
      <w:r>
        <w:t xml:space="preserve">Richard H. Britton</w:t>
      </w:r>
    </w:p>
    <w:p>
      <w:pPr>
        <w:pStyle w:val="Corpsdetexte"/>
      </w:pPr>
      <w:r>
        <w:rPr>
          <w:bCs/>
          <w:b/>
        </w:rPr>
        <w:t xml:space="preserve">Graphisme de couverture</w:t>
      </w:r>
      <w:r>
        <w:t xml:space="preserve"> </w:t>
      </w:r>
      <w:r>
        <w:t xml:space="preserve">: Richard H. Britton</w:t>
      </w:r>
    </w:p>
    <w:p>
      <w:pPr>
        <w:pStyle w:val="Corpsdetexte"/>
      </w:pPr>
      <w:r>
        <w:rPr>
          <w:bCs/>
          <w:b/>
        </w:rPr>
        <w:t xml:space="preserve">Contributions Spéciales</w:t>
      </w:r>
      <w:r>
        <w:t xml:space="preserve"> </w:t>
      </w:r>
      <w:r>
        <w:t xml:space="preserve">: Howard Huggins, Betsy</w:t>
      </w:r>
      <w:r>
        <w:t xml:space="preserve"> </w:t>
      </w:r>
      <w:r>
        <w:t xml:space="preserve">Carwile, Tom Williams, S. Colman Charlton, Bruce R. Neidlinger, Pete</w:t>
      </w:r>
      <w:r>
        <w:t xml:space="preserve"> </w:t>
      </w:r>
      <w:r>
        <w:t xml:space="preserve">Fenlon, Steven Bouton, Terry K. Amthor, Brenda G. Suleiman, Grace</w:t>
      </w:r>
      <w:r>
        <w:t xml:space="preserve"> </w:t>
      </w:r>
      <w:r>
        <w:t xml:space="preserve">Paylor.</w:t>
      </w:r>
    </w:p>
    <w:p>
      <w:pPr>
        <w:pStyle w:val="Corpsdetexte"/>
      </w:pPr>
      <w:r>
        <w:rPr>
          <w:bCs/>
          <w:b/>
        </w:rPr>
        <w:t xml:space="preserve">Titre original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“ANGMAR, Land of the Witch</w:t>
      </w:r>
      <w:r>
        <w:rPr>
          <w:iCs/>
          <w:i/>
        </w:rPr>
        <w:t xml:space="preserve"> </w:t>
      </w:r>
      <w:r>
        <w:rPr>
          <w:iCs/>
          <w:i/>
        </w:rPr>
        <w:t xml:space="preserve">King”</w:t>
      </w:r>
      <w:r>
        <w:t xml:space="preserve">.</w:t>
      </w:r>
    </w:p>
    <w:p>
      <w:pPr>
        <w:pStyle w:val="Corpsdetexte"/>
      </w:pPr>
      <w:r>
        <w:rPr>
          <w:iCs/>
          <w:i/>
        </w:rPr>
        <w:t xml:space="preserve">Traduction</w:t>
      </w:r>
      <w:r>
        <w:t xml:space="preserve"> </w:t>
      </w:r>
      <w:r>
        <w:t xml:space="preserve">: Thierry Betty.</w:t>
      </w:r>
    </w:p>
    <w:bookmarkEnd w:id="24"/>
    <w:bookmarkStart w:id="28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Copyright © 1982 TOLKIEN ENTERPRISES, une division de ELAN</w:t>
      </w:r>
      <w:r>
        <w:t xml:space="preserve"> </w:t>
      </w:r>
      <w:r>
        <w:t xml:space="preserve">MERCHANDISING, Inc.,</w:t>
      </w:r>
    </w:p>
    <w:p>
      <w:pPr>
        <w:pStyle w:val="Corpsdetexte"/>
      </w:pPr>
      <w:r>
        <w:t xml:space="preserve">Berkeley, CA., USA, Anima.</w:t>
      </w:r>
    </w:p>
    <w:p>
      <w:pPr>
        <w:pStyle w:val="Corpsdetexte"/>
      </w:pPr>
      <w:r>
        <w:t xml:space="preserve">Le Jeu de Rôle des Terres du Milieu (JRTM), Bilbo le Hobbit et Le</w:t>
      </w:r>
      <w:r>
        <w:t xml:space="preserve"> </w:t>
      </w:r>
      <w:r>
        <w:t xml:space="preserve">Seigneur des Anneaux, ainsi que tous les personnages et lieux décrits</w:t>
      </w:r>
      <w:r>
        <w:t xml:space="preserve"> </w:t>
      </w:r>
      <w:r>
        <w:t xml:space="preserve">dans cette aventure, sont des marques déposées appartenant à TOLKIEN</w:t>
      </w:r>
      <w:r>
        <w:t xml:space="preserve"> </w:t>
      </w:r>
      <w:r>
        <w:t xml:space="preserve">ENTERPRISES.</w:t>
      </w:r>
    </w:p>
    <w:p>
      <w:pPr>
        <w:pStyle w:val="Corpsdetexte"/>
      </w:pPr>
      <w:r>
        <w:rPr>
          <w:bCs/>
          <w:b/>
        </w:rPr>
        <w:t xml:space="preserve">Créé par</w:t>
      </w:r>
      <w:r>
        <w:t xml:space="preserve"> </w:t>
      </w:r>
      <w:r>
        <w:t xml:space="preserve">: IRON CROWN ENTERPRISES, Inc., P.O. BOX</w:t>
      </w:r>
      <w:r>
        <w:t xml:space="preserve"> </w:t>
      </w:r>
      <w:r>
        <w:t xml:space="preserve">1605, Charlottesville, VA 22902, Etats-Unis.</w:t>
      </w:r>
    </w:p>
    <w:p>
      <w:pPr>
        <w:pStyle w:val="Corpsdetexte"/>
      </w:pPr>
      <w:r>
        <w:rPr>
          <w:bCs/>
          <w:b/>
        </w:rPr>
        <w:t xml:space="preserve">Produit et distribué sur le marché français par</w:t>
      </w:r>
      <w:r>
        <w:t xml:space="preserve"> </w:t>
      </w:r>
      <w:r>
        <w:t xml:space="preserve">:</w:t>
      </w:r>
      <w:r>
        <w:t xml:space="preserve"> </w:t>
      </w:r>
      <w:r>
        <w:t xml:space="preserve">HEXAGONAL - 8 Galerie Montmartre, 75002 Paris, France.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01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8"/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5" Target="media/rId25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Preambule</dc:title>
  <dc:creator/>
  <dc:language/>
  <cp:keywords/>
  <dcterms:created xsi:type="dcterms:W3CDTF">2023-11-24T06:06:17Z</dcterms:created>
  <dcterms:modified xsi:type="dcterms:W3CDTF">2023-11-24T06:06:17Z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